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30.07.2020 N 530</w:t>
              <w:br/>
              <w:t xml:space="preserve">(ред. от 31.05.2023)</w:t>
              <w:br/>
              <w:t xml:space="preserve">"Об утверждении Правил разработки месторождений подземных вод"</w:t>
              <w:br/>
              <w:t xml:space="preserve">(Зарегистрировано в Минюсте России 14.12.2020 N 61441)</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14 декабря 2020 г. N 61441</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both"/>
      </w:pPr>
      <w:r>
        <w:rPr>
          <w:sz w:val="24"/>
        </w:rPr>
      </w:r>
    </w:p>
    <w:p>
      <w:pPr>
        <w:pStyle w:val="2"/>
        <w:jc w:val="center"/>
      </w:pPr>
      <w:r>
        <w:rPr>
          <w:sz w:val="24"/>
        </w:rPr>
        <w:t xml:space="preserve">ПРИКАЗ</w:t>
      </w:r>
    </w:p>
    <w:p>
      <w:pPr>
        <w:pStyle w:val="2"/>
        <w:jc w:val="center"/>
      </w:pPr>
      <w:r>
        <w:rPr>
          <w:sz w:val="24"/>
        </w:rPr>
        <w:t xml:space="preserve">от 30 июля 2020 г. N 530</w:t>
      </w:r>
    </w:p>
    <w:p>
      <w:pPr>
        <w:pStyle w:val="2"/>
        <w:jc w:val="both"/>
      </w:pPr>
      <w:r>
        <w:rPr>
          <w:sz w:val="24"/>
        </w:rPr>
      </w:r>
    </w:p>
    <w:p>
      <w:pPr>
        <w:pStyle w:val="2"/>
        <w:jc w:val="center"/>
      </w:pPr>
      <w:r>
        <w:rPr>
          <w:sz w:val="24"/>
        </w:rPr>
        <w:t xml:space="preserve">ОБ УТВЕРЖДЕНИИ ПРАВИЛ</w:t>
      </w:r>
    </w:p>
    <w:p>
      <w:pPr>
        <w:pStyle w:val="2"/>
        <w:jc w:val="center"/>
      </w:pPr>
      <w:r>
        <w:rPr>
          <w:sz w:val="24"/>
        </w:rPr>
        <w:t xml:space="preserve">РАЗРАБОТКИ МЕСТОРОЖДЕНИЙ ПОДЗЕМНЫХ ВОД</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Минприроды России от 31.05.2023 N 328)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r>
        <w:rPr>
          <w:sz w:val="24"/>
        </w:rPr>
        <w:t xml:space="preserve">пунктом 1</w:t>
      </w:r>
      <w:r>
        <w:rPr>
          <w:sz w:val="24"/>
        </w:rPr>
        <w:t xml:space="preserve"> постановления Правительства Российской Федерации от 19 декабря 2015 г. N 1384 "О федеральных органах исполнительной власти, уполномоченных на установление правил разработки месторождений полезных ископаемых по видам полезных ископаемых, правил подготовки технических проектов разработки месторождений полезных ископаемых по видам полезных ископаемых, а также на согласование этих правил" (Собрание законодательства Российской Федерации, 2015, N 52, ст. 7609) приказываю:</w:t>
      </w:r>
    </w:p>
    <w:p>
      <w:pPr>
        <w:pStyle w:val="0"/>
        <w:spacing w:before="240" w:line-rule="auto"/>
        <w:ind w:firstLine="540"/>
        <w:jc w:val="both"/>
      </w:pPr>
      <w:r>
        <w:rPr>
          <w:sz w:val="24"/>
        </w:rPr>
        <w:t xml:space="preserve">1. Утвердить прилагаемые </w:t>
      </w:r>
      <w:hyperlink w:history="0" w:anchor="P30" w:tooltip="ПРАВИЛА РАЗРАБОТКИ МЕСТОРОЖДЕНИЙ ПОДЗЕМНЫХ ВОД">
        <w:r>
          <w:rPr>
            <w:sz w:val="24"/>
            <w:color w:val="0000ff"/>
          </w:rPr>
          <w:t xml:space="preserve">Правила</w:t>
        </w:r>
      </w:hyperlink>
      <w:r>
        <w:rPr>
          <w:sz w:val="24"/>
        </w:rPr>
        <w:t xml:space="preserve"> разработки месторождений подземных вод;</w:t>
      </w:r>
    </w:p>
    <w:p>
      <w:pPr>
        <w:pStyle w:val="0"/>
        <w:spacing w:before="240" w:line-rule="auto"/>
        <w:ind w:firstLine="540"/>
        <w:jc w:val="both"/>
      </w:pPr>
      <w:r>
        <w:rPr>
          <w:sz w:val="24"/>
        </w:rPr>
        <w:t xml:space="preserve">2. Настоящий приказ вступает в силу 1 января 2021 г. и действует до 31 декабря 2026 г.</w:t>
      </w:r>
    </w:p>
    <w:p>
      <w:pPr>
        <w:pStyle w:val="0"/>
        <w:jc w:val="both"/>
      </w:pPr>
      <w:r>
        <w:rPr>
          <w:sz w:val="24"/>
        </w:rPr>
      </w:r>
    </w:p>
    <w:p>
      <w:pPr>
        <w:pStyle w:val="0"/>
        <w:jc w:val="right"/>
      </w:pPr>
      <w:r>
        <w:rPr>
          <w:sz w:val="24"/>
        </w:rPr>
        <w:t xml:space="preserve">Министр</w:t>
      </w:r>
    </w:p>
    <w:p>
      <w:pPr>
        <w:pStyle w:val="0"/>
        <w:jc w:val="right"/>
      </w:pPr>
      <w:r>
        <w:rPr>
          <w:sz w:val="24"/>
        </w:rPr>
        <w:t xml:space="preserve">Д.Н.КОБЫЛКИН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приказом Минприроды России</w:t>
      </w:r>
    </w:p>
    <w:p>
      <w:pPr>
        <w:pStyle w:val="0"/>
        <w:jc w:val="right"/>
      </w:pPr>
      <w:r>
        <w:rPr>
          <w:sz w:val="24"/>
        </w:rPr>
        <w:t xml:space="preserve">от 30.07.2020 N 530</w:t>
      </w:r>
    </w:p>
    <w:p>
      <w:pPr>
        <w:pStyle w:val="0"/>
        <w:jc w:val="both"/>
      </w:pPr>
      <w:r>
        <w:rPr>
          <w:sz w:val="24"/>
        </w:rPr>
      </w:r>
    </w:p>
    <w:bookmarkStart w:id="30" w:name="P30"/>
    <w:bookmarkEnd w:id="30"/>
    <w:p>
      <w:pPr>
        <w:pStyle w:val="2"/>
        <w:jc w:val="center"/>
      </w:pPr>
      <w:r>
        <w:rPr>
          <w:sz w:val="24"/>
        </w:rPr>
        <w:t xml:space="preserve">ПРАВИЛА РАЗРАБОТКИ МЕСТОРОЖДЕНИЙ ПОДЗЕМНЫХ ВОД</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Минприроды России от 31.05.2023 N 328)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разработаны в соответствии с </w:t>
      </w:r>
      <w:r>
        <w:rPr>
          <w:sz w:val="24"/>
        </w:rPr>
        <w:t xml:space="preserve">пунктом 1</w:t>
      </w:r>
      <w:r>
        <w:rPr>
          <w:sz w:val="24"/>
        </w:rPr>
        <w:t xml:space="preserve"> постановления Правительства Российской Федерации от 19 декабря 2015 г. N 1384 "О федеральных органах исполнительной власти, уполномоченных на установление правил разработки месторождений полезных ископаемых по видам полезных ископаемых, правил подготовки технических проектов разработки месторождений полезных ископаемых по видам полезных ископаемых, а также на согласование этих правил" (Собрание законодательства Российской Федерации, 2015, N 52, ст. 7609).</w:t>
      </w:r>
    </w:p>
    <w:p>
      <w:pPr>
        <w:pStyle w:val="0"/>
        <w:spacing w:before="240" w:line-rule="auto"/>
        <w:ind w:firstLine="540"/>
        <w:jc w:val="both"/>
      </w:pPr>
      <w:r>
        <w:rPr>
          <w:sz w:val="24"/>
        </w:rPr>
        <w:t xml:space="preserve">2. Настоящие Правила устанавливают требования к разработке месторождений (участков) питьевых, технических, минеральных, термальных (теплоэнергетических) и промышленных подземных вод (за исключением добычи подземных вод, которые используются для целей питьевого водоснабжения или технического водоснабжения и объем добычи которых составляет не более 100 кубических метров в сутки), расположенных на территории Российской Федерации, и предназначены для использования Федеральным агентством по недропользованию, его территориальными органами, органами исполнительной власти субъектов Российской Федерации в сфере регулирования отношений недропользования, пользователями недр, иными органами и организациями.</w:t>
      </w:r>
    </w:p>
    <w:p>
      <w:pPr>
        <w:pStyle w:val="0"/>
        <w:spacing w:before="240" w:line-rule="auto"/>
        <w:ind w:firstLine="540"/>
        <w:jc w:val="both"/>
      </w:pPr>
      <w:r>
        <w:rPr>
          <w:sz w:val="24"/>
        </w:rPr>
        <w:t xml:space="preserve">3. Настоящие Правила применяются в случаях добычи подземных вод при разработке месторождения (участка) подземных вод, а также вод, добываемых пользователями недр, осуществляющими разведку и добычу полезных ископаемых или по совмещенной лицензии геологическое изучение, разведку и добычу полезных ископаемых, разработку технологий геологического изучения, разведки и добычи трудноизвлекаемых полезных ископаемых или по совмещенной лицензии разработку технологий геологического изучения, разведки и добычи трудноизвлекаемых полезных ископаемых, разведку и добычу таких полезных ископаемых, в границах предоставленных им участков недр, для собственных производственных и технологических нужд.</w:t>
      </w:r>
    </w:p>
    <w:p>
      <w:pPr>
        <w:pStyle w:val="0"/>
        <w:spacing w:before="240" w:line-rule="auto"/>
        <w:ind w:firstLine="540"/>
        <w:jc w:val="both"/>
      </w:pPr>
      <w:r>
        <w:rPr>
          <w:sz w:val="24"/>
        </w:rPr>
        <w:t xml:space="preserve">4. Проектная документация на разработку месторождений (участков) подземных вод, предусмотренная </w:t>
      </w:r>
      <w:r>
        <w:rPr>
          <w:sz w:val="24"/>
        </w:rPr>
        <w:t xml:space="preserve">абзацем четвертым подпункта "а" пункта 10</w:t>
      </w:r>
      <w:r>
        <w:rPr>
          <w:sz w:val="24"/>
        </w:rPr>
        <w:t xml:space="preserve"> и </w:t>
      </w:r>
      <w:r>
        <w:rPr>
          <w:sz w:val="24"/>
        </w:rPr>
        <w:t xml:space="preserve">абзацем третьим подпункта "а" пункта 11</w:t>
      </w:r>
      <w:r>
        <w:rPr>
          <w:sz w:val="24"/>
        </w:rPr>
        <w:t xml:space="preserve"> Правил подготовки, согласования и утверждения технических проектов разработки месторождений полезных ископаемых, технических проектов строительства и эксплуатации подземных сооружений, технических проектов ликвидации и консервации горных выработок, буровых скважин и иных сооружений, связанных с пользованием недрами, по видам полезных ископаемых и видам пользования недрами, утвержденных постановлением Правительства Российской Федерации от 30 ноября 2021 г. N 2127 (далее - Правила подготовки, согласования и утверждения технических проектов разработки месторождений полезных ископаемых, технических проектов строительства и эксплуатации подземных сооружений, технических проектов ликвидации и консервации горных выработок, буровых скважин и иных сооружений, связанных с пользованием недрами, по видам полезных ископаемых и видам пользования недрами), согласованная и утвержденная пользователем недр в соответствии со </w:t>
      </w:r>
      <w:r>
        <w:rPr>
          <w:sz w:val="24"/>
        </w:rPr>
        <w:t xml:space="preserve">статьей 23.2</w:t>
      </w:r>
      <w:r>
        <w:rPr>
          <w:sz w:val="24"/>
        </w:rPr>
        <w:t xml:space="preserve"> Закона Российской Федерации от 21 февраля 1992 г. N 2395-1 "О недрах" (далее - Закон Российской Федерации "О недрах") до дня вступления в силу настоящего приказа, действует до окончания срока, на который данная проектная документация была утверждена.</w:t>
      </w:r>
    </w:p>
    <w:p>
      <w:pPr>
        <w:pStyle w:val="0"/>
        <w:jc w:val="both"/>
      </w:pPr>
      <w:r>
        <w:rPr>
          <w:sz w:val="24"/>
        </w:rPr>
        <w:t xml:space="preserve">(п. 4 в ред. </w:t>
      </w:r>
      <w:r>
        <w:rPr>
          <w:sz w:val="24"/>
        </w:rPr>
        <w:t xml:space="preserve">Приказа</w:t>
      </w:r>
      <w:r>
        <w:rPr>
          <w:sz w:val="24"/>
        </w:rPr>
        <w:t xml:space="preserve"> Минприроды России от 31.05.2023 N 328)</w:t>
      </w:r>
    </w:p>
    <w:p>
      <w:pPr>
        <w:pStyle w:val="0"/>
        <w:jc w:val="both"/>
      </w:pPr>
      <w:r>
        <w:rPr>
          <w:sz w:val="24"/>
        </w:rPr>
      </w:r>
    </w:p>
    <w:p>
      <w:pPr>
        <w:pStyle w:val="2"/>
        <w:outlineLvl w:val="1"/>
        <w:jc w:val="center"/>
      </w:pPr>
      <w:r>
        <w:rPr>
          <w:sz w:val="24"/>
        </w:rPr>
        <w:t xml:space="preserve">II. Добыча подземных вод</w:t>
      </w:r>
    </w:p>
    <w:p>
      <w:pPr>
        <w:pStyle w:val="0"/>
        <w:jc w:val="both"/>
      </w:pPr>
      <w:r>
        <w:rPr>
          <w:sz w:val="24"/>
        </w:rPr>
      </w:r>
    </w:p>
    <w:p>
      <w:pPr>
        <w:pStyle w:val="0"/>
        <w:ind w:firstLine="540"/>
        <w:jc w:val="both"/>
      </w:pPr>
      <w:r>
        <w:rPr>
          <w:sz w:val="24"/>
        </w:rPr>
        <w:t xml:space="preserve">5. Добыча подземных вод на месторождении (участке) разрешается только после проведения государственной экспертизы их запасов в порядке, предусмотренном </w:t>
      </w:r>
      <w:r>
        <w:rPr>
          <w:sz w:val="24"/>
        </w:rPr>
        <w:t xml:space="preserve">Правилами</w:t>
      </w:r>
      <w:r>
        <w:rPr>
          <w:sz w:val="24"/>
        </w:rPr>
        <w:t xml:space="preserve"> проведения государственной экспертизы запасов полезных ископаемых и подземных вод, геологической информации о предоставляемых в пользование участках недр, определения размера и порядка взимания платы за ее проведение, утвержденными постановлением Правительства Российской Федерации от 1 марта 2023 г. N 335 (далее - Правила проведения государственной экспертизы запасов полезных ископаемых и подземных вод, геологической информации о предоставляемых в пользование участках недр), за исключением добычи подземных вод, которые используются для целей питьевого и хозяйственно-бытового водоснабжения (далее - питьевое водоснабжение) или технического водоснабжения и объем добычи которых составляет не более 100 куб. метров в сутки.</w:t>
      </w:r>
    </w:p>
    <w:p>
      <w:pPr>
        <w:pStyle w:val="0"/>
        <w:jc w:val="both"/>
      </w:pPr>
      <w:r>
        <w:rPr>
          <w:sz w:val="24"/>
        </w:rPr>
        <w:t xml:space="preserve">(п. 5 в ред. </w:t>
      </w:r>
      <w:r>
        <w:rPr>
          <w:sz w:val="24"/>
        </w:rPr>
        <w:t xml:space="preserve">Приказа</w:t>
      </w:r>
      <w:r>
        <w:rPr>
          <w:sz w:val="24"/>
        </w:rPr>
        <w:t xml:space="preserve"> Минприроды России от 31.05.2023 N 328)</w:t>
      </w:r>
    </w:p>
    <w:p>
      <w:pPr>
        <w:pStyle w:val="0"/>
        <w:spacing w:before="240" w:line-rule="auto"/>
        <w:ind w:firstLine="540"/>
        <w:jc w:val="both"/>
      </w:pPr>
      <w:r>
        <w:rPr>
          <w:sz w:val="24"/>
        </w:rPr>
        <w:t xml:space="preserve">6. Добыча подземных вод может осуществляться на месторождении (участке), отнесенном по степени изученности к группе:</w:t>
      </w:r>
    </w:p>
    <w:p>
      <w:pPr>
        <w:pStyle w:val="0"/>
        <w:spacing w:before="240" w:line-rule="auto"/>
        <w:ind w:firstLine="540"/>
        <w:jc w:val="both"/>
      </w:pPr>
      <w:r>
        <w:rPr>
          <w:sz w:val="24"/>
        </w:rPr>
        <w:t xml:space="preserve">а) разведанных;</w:t>
      </w:r>
    </w:p>
    <w:p>
      <w:pPr>
        <w:pStyle w:val="0"/>
        <w:spacing w:before="240" w:line-rule="auto"/>
        <w:ind w:firstLine="540"/>
        <w:jc w:val="both"/>
      </w:pPr>
      <w:r>
        <w:rPr>
          <w:sz w:val="24"/>
        </w:rPr>
        <w:t xml:space="preserve">б) оцененных, в случае реализации на данном месторождении (участке) этапа опытно-промышленной разработки (далее - ОПР).</w:t>
      </w:r>
    </w:p>
    <w:p>
      <w:pPr>
        <w:pStyle w:val="0"/>
        <w:spacing w:before="240" w:line-rule="auto"/>
        <w:ind w:firstLine="540"/>
        <w:jc w:val="both"/>
      </w:pPr>
      <w:r>
        <w:rPr>
          <w:sz w:val="24"/>
        </w:rPr>
        <w:t xml:space="preserve">7. Проведение ОПР месторождения (участка) подземных вод осуществляется в целях уточнения основных геолого-гидрогеологических условий месторождения (участка), фильтрационных и емкостных свойств продуктивного водоносного горизонта (комплекса), производительности водозабора, обоснования проведения выполнения бурения и опробования скважин различного назначения, с целью подтверждения (или корректировки) сведений о количестве и качестве ранее оцененных запасов.</w:t>
      </w:r>
    </w:p>
    <w:p>
      <w:pPr>
        <w:pStyle w:val="0"/>
        <w:spacing w:before="240" w:line-rule="auto"/>
        <w:ind w:firstLine="540"/>
        <w:jc w:val="both"/>
      </w:pPr>
      <w:r>
        <w:rPr>
          <w:sz w:val="24"/>
        </w:rPr>
        <w:t xml:space="preserve">8. ОПР проводится на основании проектной документации на осуществление разведки месторождений (участков) подземных вод, включая переоценку запасов подземных вод на участках недр с расположенными на них водозаборными сооружениями, предусмотренной </w:t>
      </w:r>
      <w:r>
        <w:rPr>
          <w:sz w:val="24"/>
        </w:rPr>
        <w:t xml:space="preserve">статьей 36.1</w:t>
      </w:r>
      <w:r>
        <w:rPr>
          <w:sz w:val="24"/>
        </w:rPr>
        <w:t xml:space="preserve"> Закона Российской Федерации "О недрах", и рекомендаций, содержащихся в заключении государственной экспертизы запасов полезных ископаемых и подземных вод, предусмотренном </w:t>
      </w:r>
      <w:r>
        <w:rPr>
          <w:sz w:val="24"/>
        </w:rPr>
        <w:t xml:space="preserve">статьей 29</w:t>
      </w:r>
      <w:r>
        <w:rPr>
          <w:sz w:val="24"/>
        </w:rPr>
        <w:t xml:space="preserve"> Закона Российской Федерации "О недрах".</w:t>
      </w:r>
    </w:p>
    <w:p>
      <w:pPr>
        <w:pStyle w:val="0"/>
        <w:spacing w:before="240" w:line-rule="auto"/>
        <w:ind w:firstLine="540"/>
        <w:jc w:val="both"/>
      </w:pPr>
      <w:r>
        <w:rPr>
          <w:sz w:val="24"/>
        </w:rPr>
        <w:t xml:space="preserve">Срок ОПР обосновывается пользователем недр в проекте водозабора (при пользовании недрами для разведки и добычи питьевых и технических подземных вод) или в проекте опытно-промышленной разработки месторождения (участка) (при пользовании недрами для геологического изучения, разведки и добычи минеральных, термальных (теплоэнергетических) и промышленных подземных вод, осуществляемых по совмещенной лицензии) и устанавливается не более чем на пять лет.</w:t>
      </w:r>
    </w:p>
    <w:p>
      <w:pPr>
        <w:pStyle w:val="0"/>
        <w:jc w:val="both"/>
      </w:pPr>
      <w:r>
        <w:rPr>
          <w:sz w:val="24"/>
        </w:rPr>
        <w:t xml:space="preserve">(п. 8 в ред. </w:t>
      </w:r>
      <w:r>
        <w:rPr>
          <w:sz w:val="24"/>
        </w:rPr>
        <w:t xml:space="preserve">Приказа</w:t>
      </w:r>
      <w:r>
        <w:rPr>
          <w:sz w:val="24"/>
        </w:rPr>
        <w:t xml:space="preserve"> Минприроды России от 31.05.2023 N 328)</w:t>
      </w:r>
    </w:p>
    <w:p>
      <w:pPr>
        <w:pStyle w:val="0"/>
        <w:spacing w:before="240" w:line-rule="auto"/>
        <w:ind w:firstLine="540"/>
        <w:jc w:val="both"/>
      </w:pPr>
      <w:r>
        <w:rPr>
          <w:sz w:val="24"/>
        </w:rPr>
        <w:t xml:space="preserve">9. Реализация ОПР осуществляется в соответствии с проектом водозабора (при пользовании недрами для разведки и добычи питьевых и технических подземных вод) или проектом опытно-промышленной разработки месторождения (участка) (при пользовании недрами для геологического изучения, разведки и добычи минеральных, термальных (теплоэнергетических) и промышленных подземных вод, осуществляемых по совмещенной лицензии).</w:t>
      </w:r>
    </w:p>
    <w:p>
      <w:pPr>
        <w:pStyle w:val="0"/>
        <w:spacing w:before="240" w:line-rule="auto"/>
        <w:ind w:firstLine="540"/>
        <w:jc w:val="both"/>
      </w:pPr>
      <w:r>
        <w:rPr>
          <w:sz w:val="24"/>
        </w:rPr>
        <w:t xml:space="preserve">10. После завершения разведки и (или) ОПР пользователь недр представляет в орган исполнительной власти, уполномоченный на проведение государственной экспертизы запасов, подсчет запасов подземных вод для проведения государственной экспертизы в порядке, предусмотренном </w:t>
      </w:r>
      <w:r>
        <w:rPr>
          <w:sz w:val="24"/>
        </w:rPr>
        <w:t xml:space="preserve">Правилами</w:t>
      </w:r>
      <w:r>
        <w:rPr>
          <w:sz w:val="24"/>
        </w:rPr>
        <w:t xml:space="preserve"> проведения государственной экспертизы запасов полезных ископаемых и подземных вод, геологической информации о предоставляемых в пользование участках недр.</w:t>
      </w:r>
    </w:p>
    <w:p>
      <w:pPr>
        <w:pStyle w:val="0"/>
        <w:jc w:val="both"/>
      </w:pPr>
      <w:r>
        <w:rPr>
          <w:sz w:val="24"/>
        </w:rPr>
        <w:t xml:space="preserve">(в ред. </w:t>
      </w:r>
      <w:r>
        <w:rPr>
          <w:sz w:val="24"/>
        </w:rPr>
        <w:t xml:space="preserve">Приказа</w:t>
      </w:r>
      <w:r>
        <w:rPr>
          <w:sz w:val="24"/>
        </w:rPr>
        <w:t xml:space="preserve"> Минприроды России от 31.05.2023 N 328)</w:t>
      </w:r>
    </w:p>
    <w:p>
      <w:pPr>
        <w:pStyle w:val="0"/>
        <w:spacing w:before="240" w:line-rule="auto"/>
        <w:ind w:firstLine="540"/>
        <w:jc w:val="both"/>
      </w:pPr>
      <w:r>
        <w:rPr>
          <w:sz w:val="24"/>
        </w:rPr>
        <w:t xml:space="preserve">11. Проектная документация на разработку месторождений (участков) подземных вод подготавливается с учетом результатов государственной экспертизы запасов этих месторождений (участков).</w:t>
      </w:r>
    </w:p>
    <w:p>
      <w:pPr>
        <w:pStyle w:val="0"/>
        <w:jc w:val="both"/>
      </w:pPr>
      <w:r>
        <w:rPr>
          <w:sz w:val="24"/>
        </w:rPr>
      </w:r>
    </w:p>
    <w:p>
      <w:pPr>
        <w:pStyle w:val="2"/>
        <w:outlineLvl w:val="1"/>
        <w:jc w:val="center"/>
      </w:pPr>
      <w:r>
        <w:rPr>
          <w:sz w:val="24"/>
        </w:rPr>
        <w:t xml:space="preserve">III. Проектная документация на разработку</w:t>
      </w:r>
    </w:p>
    <w:p>
      <w:pPr>
        <w:pStyle w:val="2"/>
        <w:jc w:val="center"/>
      </w:pPr>
      <w:r>
        <w:rPr>
          <w:sz w:val="24"/>
        </w:rPr>
        <w:t xml:space="preserve">месторождений (участков) подземных вод, на основании</w:t>
      </w:r>
    </w:p>
    <w:p>
      <w:pPr>
        <w:pStyle w:val="2"/>
        <w:jc w:val="center"/>
      </w:pPr>
      <w:r>
        <w:rPr>
          <w:sz w:val="24"/>
        </w:rPr>
        <w:t xml:space="preserve">которой осуществляется разработка месторождений</w:t>
      </w:r>
    </w:p>
    <w:p>
      <w:pPr>
        <w:pStyle w:val="2"/>
        <w:jc w:val="center"/>
      </w:pPr>
      <w:r>
        <w:rPr>
          <w:sz w:val="24"/>
        </w:rPr>
        <w:t xml:space="preserve">(участков) подземных вод</w:t>
      </w:r>
    </w:p>
    <w:p>
      <w:pPr>
        <w:pStyle w:val="0"/>
        <w:jc w:val="both"/>
      </w:pPr>
      <w:r>
        <w:rPr>
          <w:sz w:val="24"/>
        </w:rPr>
      </w:r>
    </w:p>
    <w:p>
      <w:pPr>
        <w:pStyle w:val="0"/>
        <w:ind w:firstLine="540"/>
        <w:jc w:val="both"/>
      </w:pPr>
      <w:r>
        <w:rPr>
          <w:sz w:val="24"/>
        </w:rPr>
        <w:t xml:space="preserve">12. Разработка месторождений (участков) подземных вод (за исключением добычи подземных вод, которые используются для целей питьевого водоснабжения или технического водоснабжения и объем добычи которых составляет не более 100 кубических метров в сутки) осуществляется на основании проектной документации, указанной в </w:t>
      </w:r>
      <w:hyperlink w:history="0" w:anchor="P64" w:tooltip="13. К проектной документации, на основании которой осуществляется разработка месторождений (участков) подземных вод, относятся:">
        <w:r>
          <w:rPr>
            <w:sz w:val="24"/>
            <w:color w:val="0000ff"/>
          </w:rPr>
          <w:t xml:space="preserve">пункте 13</w:t>
        </w:r>
      </w:hyperlink>
      <w:r>
        <w:rPr>
          <w:sz w:val="24"/>
        </w:rPr>
        <w:t xml:space="preserve"> настоящих Правил.</w:t>
      </w:r>
    </w:p>
    <w:bookmarkStart w:id="64" w:name="P64"/>
    <w:bookmarkEnd w:id="64"/>
    <w:p>
      <w:pPr>
        <w:pStyle w:val="0"/>
        <w:spacing w:before="240" w:line-rule="auto"/>
        <w:ind w:firstLine="540"/>
        <w:jc w:val="both"/>
      </w:pPr>
      <w:r>
        <w:rPr>
          <w:sz w:val="24"/>
        </w:rPr>
        <w:t xml:space="preserve">13. К проектной документации, на основании которой осуществляется разработка месторождений (участков) подземных вод, относятся:</w:t>
      </w:r>
    </w:p>
    <w:p>
      <w:pPr>
        <w:pStyle w:val="0"/>
        <w:spacing w:before="240" w:line-rule="auto"/>
        <w:ind w:firstLine="540"/>
        <w:jc w:val="both"/>
      </w:pPr>
      <w:r>
        <w:rPr>
          <w:sz w:val="24"/>
        </w:rPr>
        <w:t xml:space="preserve">а) при пользовании недрами для добычи питьевых и технических подземных вод - проект водозабора;</w:t>
      </w:r>
    </w:p>
    <w:p>
      <w:pPr>
        <w:pStyle w:val="0"/>
        <w:spacing w:before="240" w:line-rule="auto"/>
        <w:ind w:firstLine="540"/>
        <w:jc w:val="both"/>
      </w:pPr>
      <w:r>
        <w:rPr>
          <w:sz w:val="24"/>
        </w:rPr>
        <w:t xml:space="preserve">б) при пользовании недрами для разведки и добычи, геологического изучения, разведки и добычи минеральных, термальных (теплоэнергетических) и промышленных подземных вод, осуществляемых по совмещенной лицензии:</w:t>
      </w:r>
    </w:p>
    <w:p>
      <w:pPr>
        <w:pStyle w:val="0"/>
        <w:spacing w:before="240" w:line-rule="auto"/>
        <w:ind w:firstLine="540"/>
        <w:jc w:val="both"/>
      </w:pPr>
      <w:r>
        <w:rPr>
          <w:sz w:val="24"/>
        </w:rPr>
        <w:t xml:space="preserve">проект опытно-промышленной разработки месторождения (участка);</w:t>
      </w:r>
    </w:p>
    <w:p>
      <w:pPr>
        <w:pStyle w:val="0"/>
        <w:spacing w:before="240" w:line-rule="auto"/>
        <w:ind w:firstLine="540"/>
        <w:jc w:val="both"/>
      </w:pPr>
      <w:r>
        <w:rPr>
          <w:sz w:val="24"/>
        </w:rPr>
        <w:t xml:space="preserve">технологическая схема разработки месторождения (участка) и дополнения к ней;</w:t>
      </w:r>
    </w:p>
    <w:p>
      <w:pPr>
        <w:pStyle w:val="0"/>
        <w:spacing w:before="240" w:line-rule="auto"/>
        <w:ind w:firstLine="540"/>
        <w:jc w:val="both"/>
      </w:pPr>
      <w:r>
        <w:rPr>
          <w:sz w:val="24"/>
        </w:rPr>
        <w:t xml:space="preserve">проект разработки месторождения (участка) и дополнения к нему.</w:t>
      </w:r>
    </w:p>
    <w:p>
      <w:pPr>
        <w:pStyle w:val="0"/>
        <w:jc w:val="both"/>
      </w:pPr>
      <w:r>
        <w:rPr>
          <w:sz w:val="24"/>
        </w:rPr>
      </w:r>
    </w:p>
    <w:p>
      <w:pPr>
        <w:pStyle w:val="2"/>
        <w:outlineLvl w:val="1"/>
        <w:jc w:val="center"/>
      </w:pPr>
      <w:r>
        <w:rPr>
          <w:sz w:val="24"/>
        </w:rPr>
        <w:t xml:space="preserve">IV. Требования к разработке месторождения (участка)</w:t>
      </w:r>
    </w:p>
    <w:p>
      <w:pPr>
        <w:pStyle w:val="2"/>
        <w:jc w:val="center"/>
      </w:pPr>
      <w:r>
        <w:rPr>
          <w:sz w:val="24"/>
        </w:rPr>
        <w:t xml:space="preserve">подземных вод</w:t>
      </w:r>
    </w:p>
    <w:p>
      <w:pPr>
        <w:pStyle w:val="0"/>
        <w:jc w:val="both"/>
      </w:pPr>
      <w:r>
        <w:rPr>
          <w:sz w:val="24"/>
        </w:rPr>
      </w:r>
    </w:p>
    <w:p>
      <w:pPr>
        <w:pStyle w:val="0"/>
        <w:ind w:firstLine="540"/>
        <w:jc w:val="both"/>
      </w:pPr>
      <w:r>
        <w:rPr>
          <w:sz w:val="24"/>
        </w:rPr>
        <w:t xml:space="preserve">14. При разработке месторождений (участков) подземных вод в зависимости от вида подземных вод, применяемой технологии и технических средств добычи подземных вод реализуются следующие мероприятия, подлежащие включению в проектную документацию на разработку месторождений (участков) подземных вод:</w:t>
      </w:r>
    </w:p>
    <w:p>
      <w:pPr>
        <w:pStyle w:val="0"/>
        <w:spacing w:before="240" w:line-rule="auto"/>
        <w:ind w:firstLine="540"/>
        <w:jc w:val="both"/>
      </w:pPr>
      <w:r>
        <w:rPr>
          <w:sz w:val="24"/>
        </w:rPr>
        <w:t xml:space="preserve">а) мероприятия по рациональному использованию и охране недр, по охране подземных водных объектов, по безопасному ведению работ, связанных с пользованием недрами;</w:t>
      </w:r>
    </w:p>
    <w:p>
      <w:pPr>
        <w:pStyle w:val="0"/>
        <w:spacing w:before="240" w:line-rule="auto"/>
        <w:ind w:firstLine="540"/>
        <w:jc w:val="both"/>
      </w:pPr>
      <w:r>
        <w:rPr>
          <w:sz w:val="24"/>
        </w:rPr>
        <w:t xml:space="preserve">б) мероприятия по обеспечению требований в области охраны окружающей среды и обеспечения экологической безопасности при пользовании недрами;</w:t>
      </w:r>
    </w:p>
    <w:p>
      <w:pPr>
        <w:pStyle w:val="0"/>
        <w:spacing w:before="240" w:line-rule="auto"/>
        <w:ind w:firstLine="540"/>
        <w:jc w:val="both"/>
      </w:pPr>
      <w:r>
        <w:rPr>
          <w:sz w:val="24"/>
        </w:rPr>
        <w:t xml:space="preserve">в) проектные решения в отношении выбора конструкций эксплуатационных, резервных и наблюдательных скважин, технологий производства буровых работ и оборудования водоприемной части скважин;</w:t>
      </w:r>
    </w:p>
    <w:p>
      <w:pPr>
        <w:pStyle w:val="0"/>
        <w:jc w:val="both"/>
      </w:pPr>
      <w:r>
        <w:rPr>
          <w:sz w:val="24"/>
        </w:rPr>
        <w:t xml:space="preserve">(пп. "в" в ред. </w:t>
      </w:r>
      <w:r>
        <w:rPr>
          <w:sz w:val="24"/>
        </w:rPr>
        <w:t xml:space="preserve">Приказа</w:t>
      </w:r>
      <w:r>
        <w:rPr>
          <w:sz w:val="24"/>
        </w:rPr>
        <w:t xml:space="preserve"> Минприроды России от 31.05.2023 N 328)</w:t>
      </w:r>
    </w:p>
    <w:p>
      <w:pPr>
        <w:pStyle w:val="0"/>
        <w:spacing w:before="240" w:line-rule="auto"/>
        <w:ind w:firstLine="540"/>
        <w:jc w:val="both"/>
      </w:pPr>
      <w:r>
        <w:rPr>
          <w:sz w:val="24"/>
        </w:rPr>
        <w:t xml:space="preserve">г) проектные решения в отношении выбора средств измерений, отвечающих требованиям, предусмотренным </w:t>
      </w:r>
      <w:r>
        <w:rPr>
          <w:sz w:val="24"/>
        </w:rPr>
        <w:t xml:space="preserve">статьей 9</w:t>
      </w:r>
      <w:r>
        <w:rPr>
          <w:sz w:val="24"/>
        </w:rPr>
        <w:t xml:space="preserve"> Федерального закона от 26 июня 2008 г. N 102-ФЗ "Об обеспечении единства измерений" (далее - Федеральный закон "Об обеспечении единства измерений"). В случае добычи подземных вод на месторождениях (участках) минеральных подземных вод также предусматривается использование оборудования защиты приборов учета объема добычи подземных вод от несанкционированного вмешательства в их работу, включая опломбирование;</w:t>
      </w:r>
    </w:p>
    <w:p>
      <w:pPr>
        <w:pStyle w:val="0"/>
        <w:jc w:val="both"/>
      </w:pPr>
      <w:r>
        <w:rPr>
          <w:sz w:val="24"/>
        </w:rPr>
        <w:t xml:space="preserve">(пп. "г" в ред. </w:t>
      </w:r>
      <w:r>
        <w:rPr>
          <w:sz w:val="24"/>
        </w:rPr>
        <w:t xml:space="preserve">Приказа</w:t>
      </w:r>
      <w:r>
        <w:rPr>
          <w:sz w:val="24"/>
        </w:rPr>
        <w:t xml:space="preserve"> Минприроды России от 31.05.2023 N 328)</w:t>
      </w:r>
    </w:p>
    <w:p>
      <w:pPr>
        <w:pStyle w:val="0"/>
        <w:spacing w:before="240" w:line-rule="auto"/>
        <w:ind w:firstLine="540"/>
        <w:jc w:val="both"/>
      </w:pPr>
      <w:r>
        <w:rPr>
          <w:sz w:val="24"/>
        </w:rPr>
        <w:t xml:space="preserve">д) проектные технологические (инженерные) решения по схеме и режиму работы водозабора;</w:t>
      </w:r>
    </w:p>
    <w:p>
      <w:pPr>
        <w:pStyle w:val="0"/>
        <w:spacing w:before="240" w:line-rule="auto"/>
        <w:ind w:firstLine="540"/>
        <w:jc w:val="both"/>
      </w:pPr>
      <w:r>
        <w:rPr>
          <w:sz w:val="24"/>
        </w:rPr>
        <w:t xml:space="preserve">е) наблюдение за техническим состоянием буровых скважин с учетом их назначения.</w:t>
      </w:r>
    </w:p>
    <w:p>
      <w:pPr>
        <w:pStyle w:val="0"/>
        <w:spacing w:before="240" w:line-rule="auto"/>
        <w:ind w:firstLine="540"/>
        <w:jc w:val="both"/>
      </w:pPr>
      <w:r>
        <w:rPr>
          <w:sz w:val="24"/>
        </w:rPr>
        <w:t xml:space="preserve">В случае изменения (планирования изменений) условий разработки месторождения (участка) подземных вод при необходимости в проектную документацию вносятся изменения.</w:t>
      </w:r>
    </w:p>
    <w:p>
      <w:pPr>
        <w:pStyle w:val="0"/>
        <w:spacing w:before="240" w:line-rule="auto"/>
        <w:ind w:firstLine="540"/>
        <w:jc w:val="both"/>
      </w:pPr>
      <w:r>
        <w:rPr>
          <w:sz w:val="24"/>
        </w:rPr>
        <w:t xml:space="preserve">15. Месторождение (участок) подземных вод, отнесенное по результатам государственной экспертизы их запасов по степени изученности к группе разведанных (или оцененных, в случае реализации на данном месторождении (участке) ОПР) и на котором начата добыча подземных вод в соответствии с проектной документацией на разработку месторождения (участка) подземных вод, согласованной и утвержденной в соответствии с </w:t>
      </w:r>
      <w:r>
        <w:rPr>
          <w:sz w:val="24"/>
        </w:rPr>
        <w:t xml:space="preserve">Правилами</w:t>
      </w:r>
      <w:r>
        <w:rPr>
          <w:sz w:val="24"/>
        </w:rPr>
        <w:t xml:space="preserve"> подготовки, согласования и утверждения технических проектов разработки месторождений полезных ископаемых, технических проектов строительства и эксплуатации подземных сооружений, технических проектов ликвидации и консервации горных выработок, буровых скважин и иных сооружений, связанных с пользованием недрами, по видам полезных ископаемых и видам пользования недрами, считается введенным в разработку.</w:t>
      </w:r>
    </w:p>
    <w:p>
      <w:pPr>
        <w:pStyle w:val="0"/>
        <w:jc w:val="both"/>
      </w:pPr>
      <w:r>
        <w:rPr>
          <w:sz w:val="24"/>
        </w:rPr>
        <w:t xml:space="preserve">(в ред. </w:t>
      </w:r>
      <w:r>
        <w:rPr>
          <w:sz w:val="24"/>
        </w:rPr>
        <w:t xml:space="preserve">Приказа</w:t>
      </w:r>
      <w:r>
        <w:rPr>
          <w:sz w:val="24"/>
        </w:rPr>
        <w:t xml:space="preserve"> Минприроды России от 31.05.2023 N 328)</w:t>
      </w:r>
    </w:p>
    <w:p>
      <w:pPr>
        <w:pStyle w:val="0"/>
        <w:jc w:val="both"/>
      </w:pPr>
      <w:r>
        <w:rPr>
          <w:sz w:val="24"/>
        </w:rPr>
      </w:r>
    </w:p>
    <w:p>
      <w:pPr>
        <w:pStyle w:val="2"/>
        <w:outlineLvl w:val="1"/>
        <w:jc w:val="center"/>
      </w:pPr>
      <w:r>
        <w:rPr>
          <w:sz w:val="24"/>
        </w:rPr>
        <w:t xml:space="preserve">V. Допустимые отклонения показателей при разработке</w:t>
      </w:r>
    </w:p>
    <w:p>
      <w:pPr>
        <w:pStyle w:val="2"/>
        <w:jc w:val="center"/>
      </w:pPr>
      <w:r>
        <w:rPr>
          <w:sz w:val="24"/>
        </w:rPr>
        <w:t xml:space="preserve">месторождения (участка) подземных вод</w:t>
      </w:r>
    </w:p>
    <w:p>
      <w:pPr>
        <w:pStyle w:val="0"/>
        <w:jc w:val="both"/>
      </w:pPr>
      <w:r>
        <w:rPr>
          <w:sz w:val="24"/>
        </w:rPr>
      </w:r>
    </w:p>
    <w:p>
      <w:pPr>
        <w:pStyle w:val="0"/>
        <w:ind w:firstLine="540"/>
        <w:jc w:val="both"/>
      </w:pPr>
      <w:r>
        <w:rPr>
          <w:sz w:val="24"/>
        </w:rPr>
        <w:t xml:space="preserve">16. Показателями, характеризующими выполнение пользователем недр обязанностей, установленных </w:t>
      </w:r>
      <w:r>
        <w:rPr>
          <w:sz w:val="24"/>
        </w:rPr>
        <w:t xml:space="preserve">пунктом 2 части 2 статьи 22</w:t>
      </w:r>
      <w:r>
        <w:rPr>
          <w:sz w:val="24"/>
        </w:rPr>
        <w:t xml:space="preserve"> Закона Российской Федерации "О недрах", в части обеспечения соблюдения требований проектной документации на разработку месторождений (участков) подземных вод, являются:</w:t>
      </w:r>
    </w:p>
    <w:bookmarkStart w:id="91" w:name="P91"/>
    <w:bookmarkEnd w:id="91"/>
    <w:p>
      <w:pPr>
        <w:pStyle w:val="0"/>
        <w:spacing w:before="240" w:line-rule="auto"/>
        <w:ind w:firstLine="540"/>
        <w:jc w:val="both"/>
      </w:pPr>
      <w:r>
        <w:rPr>
          <w:sz w:val="24"/>
        </w:rPr>
        <w:t xml:space="preserve">а) среднегодовой объем добычи подземных вод, теплоносителя (для термальных (теплоэнергетических) вод) и полезных компонентов (для промышленных вод), утвержденные по месторождению (участку) подземных вод;</w:t>
      </w:r>
    </w:p>
    <w:bookmarkStart w:id="92" w:name="P92"/>
    <w:bookmarkEnd w:id="92"/>
    <w:p>
      <w:pPr>
        <w:pStyle w:val="0"/>
        <w:spacing w:before="240" w:line-rule="auto"/>
        <w:ind w:firstLine="540"/>
        <w:jc w:val="both"/>
      </w:pPr>
      <w:r>
        <w:rPr>
          <w:sz w:val="24"/>
        </w:rPr>
        <w:t xml:space="preserve">б) динамические уровни подземных вод;</w:t>
      </w:r>
    </w:p>
    <w:p>
      <w:pPr>
        <w:pStyle w:val="0"/>
        <w:spacing w:before="240" w:line-rule="auto"/>
        <w:ind w:firstLine="540"/>
        <w:jc w:val="both"/>
      </w:pPr>
      <w:r>
        <w:rPr>
          <w:sz w:val="24"/>
        </w:rPr>
        <w:t xml:space="preserve">в) нагрузка на конкретную эксплуатационную скважину;</w:t>
      </w:r>
    </w:p>
    <w:p>
      <w:pPr>
        <w:pStyle w:val="0"/>
        <w:spacing w:before="240" w:line-rule="auto"/>
        <w:ind w:firstLine="540"/>
        <w:jc w:val="both"/>
      </w:pPr>
      <w:r>
        <w:rPr>
          <w:sz w:val="24"/>
        </w:rPr>
        <w:t xml:space="preserve">г) фонд эксплуатационных скважин;</w:t>
      </w:r>
    </w:p>
    <w:p>
      <w:pPr>
        <w:pStyle w:val="0"/>
        <w:spacing w:before="240" w:line-rule="auto"/>
        <w:ind w:firstLine="540"/>
        <w:jc w:val="both"/>
      </w:pPr>
      <w:r>
        <w:rPr>
          <w:sz w:val="24"/>
        </w:rPr>
        <w:t xml:space="preserve">д) конструкции эксплуатационных скважин;</w:t>
      </w:r>
    </w:p>
    <w:p>
      <w:pPr>
        <w:pStyle w:val="0"/>
        <w:spacing w:before="240" w:line-rule="auto"/>
        <w:ind w:firstLine="540"/>
        <w:jc w:val="both"/>
      </w:pPr>
      <w:r>
        <w:rPr>
          <w:sz w:val="24"/>
        </w:rPr>
        <w:t xml:space="preserve">е) качество (химический и газовый составы) подземных вод в соответствии с целевым назначением подземных вод;</w:t>
      </w:r>
    </w:p>
    <w:p>
      <w:pPr>
        <w:pStyle w:val="0"/>
        <w:spacing w:before="240" w:line-rule="auto"/>
        <w:ind w:firstLine="540"/>
        <w:jc w:val="both"/>
      </w:pPr>
      <w:r>
        <w:rPr>
          <w:sz w:val="24"/>
        </w:rPr>
        <w:t xml:space="preserve">ж) технические и технологические решения по использованию теплоэнергетического потенциала (для термальных (теплоэнергетических) вод) или по извлечению и переработке полезных компонентов (для промышленных вод);</w:t>
      </w:r>
    </w:p>
    <w:p>
      <w:pPr>
        <w:pStyle w:val="0"/>
        <w:spacing w:before="240" w:line-rule="auto"/>
        <w:ind w:firstLine="540"/>
        <w:jc w:val="both"/>
      </w:pPr>
      <w:r>
        <w:rPr>
          <w:sz w:val="24"/>
        </w:rPr>
        <w:t xml:space="preserve">з) объемы сброса отработанного (использованного) природного теплоносителя или промышленных вод;</w:t>
      </w:r>
    </w:p>
    <w:bookmarkStart w:id="99" w:name="P99"/>
    <w:bookmarkEnd w:id="99"/>
    <w:p>
      <w:pPr>
        <w:pStyle w:val="0"/>
        <w:spacing w:before="240" w:line-rule="auto"/>
        <w:ind w:firstLine="540"/>
        <w:jc w:val="both"/>
      </w:pPr>
      <w:r>
        <w:rPr>
          <w:sz w:val="24"/>
        </w:rPr>
        <w:t xml:space="preserve">и) потери (для термальных (теплоэнергетических), минеральных и промышленных вод).</w:t>
      </w:r>
    </w:p>
    <w:bookmarkStart w:id="100" w:name="P100"/>
    <w:bookmarkEnd w:id="100"/>
    <w:p>
      <w:pPr>
        <w:pStyle w:val="0"/>
        <w:spacing w:before="240" w:line-rule="auto"/>
        <w:ind w:firstLine="540"/>
        <w:jc w:val="both"/>
      </w:pPr>
      <w:r>
        <w:rPr>
          <w:sz w:val="24"/>
        </w:rPr>
        <w:t xml:space="preserve">17. Допускаются отклонения показателя среднегодового объема добычи подземных вод в сторону его уменьшения от установленного в проектной документации на разработку месторождения (участка) подземных вод в соответствии с фактически достигнутым показателем среднегодового объема добычи подземных вод.</w:t>
      </w:r>
    </w:p>
    <w:p>
      <w:pPr>
        <w:pStyle w:val="0"/>
        <w:spacing w:before="240" w:line-rule="auto"/>
        <w:ind w:firstLine="540"/>
        <w:jc w:val="both"/>
      </w:pPr>
      <w:r>
        <w:rPr>
          <w:sz w:val="24"/>
        </w:rPr>
        <w:t xml:space="preserve">18. В случае отклонения показателей разработки, указанных в </w:t>
      </w:r>
      <w:hyperlink w:history="0" w:anchor="P92" w:tooltip="б) динамические уровни подземных вод;">
        <w:r>
          <w:rPr>
            <w:sz w:val="24"/>
            <w:color w:val="0000ff"/>
          </w:rPr>
          <w:t xml:space="preserve">подпунктах "б</w:t>
        </w:r>
      </w:hyperlink>
      <w:r>
        <w:rPr>
          <w:sz w:val="24"/>
        </w:rPr>
        <w:t xml:space="preserve"> - </w:t>
      </w:r>
      <w:hyperlink w:history="0" w:anchor="P99" w:tooltip="и) потери (для термальных (теплоэнергетических), минеральных и промышленных вод).">
        <w:r>
          <w:rPr>
            <w:sz w:val="24"/>
            <w:color w:val="0000ff"/>
          </w:rPr>
          <w:t xml:space="preserve">и" пункта 16</w:t>
        </w:r>
      </w:hyperlink>
      <w:r>
        <w:rPr>
          <w:sz w:val="24"/>
        </w:rPr>
        <w:t xml:space="preserve"> настоящих Правил, либо отклонения в сторону увеличения от установленного в проектной документации на разработку месторождения (участка) подземных вод показателя среднегодового объема добычи подземных вод, теплоносителя (для теплоэнергетических вод) и полезных компонентов (для промышленных вод), указанного в </w:t>
      </w:r>
      <w:hyperlink w:history="0" w:anchor="P91" w:tooltip="а) среднегодовой объем добычи подземных вод, теплоносителя (для термальных (теплоэнергетических) вод) и полезных компонентов (для промышленных вод), утвержденные по месторождению (участку) подземных вод;">
        <w:r>
          <w:rPr>
            <w:sz w:val="24"/>
            <w:color w:val="0000ff"/>
          </w:rPr>
          <w:t xml:space="preserve">подпункте "а" пункта 16</w:t>
        </w:r>
      </w:hyperlink>
      <w:r>
        <w:rPr>
          <w:sz w:val="24"/>
        </w:rPr>
        <w:t xml:space="preserve"> настоящих Правил, недропользователю необходимо установить причины отклонений и внести соответствующие изменения в процесс разработки месторождения и (или) при необходимости провести дополнительное геологическое изучение недр с последующим подсчетом запасов подземных вод и подготовкой новой проектной документации на разработку месторождения (участка) подземных вод или дополнения к утвержденной проектной документации.</w:t>
      </w:r>
    </w:p>
    <w:p>
      <w:pPr>
        <w:pStyle w:val="0"/>
        <w:spacing w:before="240" w:line-rule="auto"/>
        <w:ind w:firstLine="540"/>
        <w:jc w:val="both"/>
      </w:pPr>
      <w:r>
        <w:rPr>
          <w:sz w:val="24"/>
        </w:rPr>
        <w:t xml:space="preserve">19. Соблюдение пользователем недр допустимых отклонений среднегодового объема добычи подземных вод, установленных в </w:t>
      </w:r>
      <w:hyperlink w:history="0" w:anchor="P100" w:tooltip="17. Допускаются отклонения показателя среднегодового объема добычи подземных вод в сторону его уменьшения от установленного в проектной документации на разработку месторождения (участка) подземных вод в соответствии с фактически достигнутым показателем среднегодового объема добычи подземных вод.">
        <w:r>
          <w:rPr>
            <w:sz w:val="24"/>
            <w:color w:val="0000ff"/>
          </w:rPr>
          <w:t xml:space="preserve">пункте 17</w:t>
        </w:r>
      </w:hyperlink>
      <w:r>
        <w:rPr>
          <w:sz w:val="24"/>
        </w:rPr>
        <w:t xml:space="preserve"> настоящих Правил, определяется данными на конец календарного года.</w:t>
      </w:r>
    </w:p>
    <w:p>
      <w:pPr>
        <w:pStyle w:val="0"/>
        <w:jc w:val="both"/>
      </w:pPr>
      <w:r>
        <w:rPr>
          <w:sz w:val="24"/>
        </w:rPr>
      </w:r>
    </w:p>
    <w:p>
      <w:pPr>
        <w:pStyle w:val="2"/>
        <w:outlineLvl w:val="1"/>
        <w:jc w:val="center"/>
      </w:pPr>
      <w:r>
        <w:rPr>
          <w:sz w:val="24"/>
        </w:rPr>
        <w:t xml:space="preserve">VI. Требования к горным выработкам, скважинам</w:t>
      </w:r>
    </w:p>
    <w:p>
      <w:pPr>
        <w:pStyle w:val="2"/>
        <w:jc w:val="center"/>
      </w:pPr>
      <w:r>
        <w:rPr>
          <w:sz w:val="24"/>
        </w:rPr>
        <w:t xml:space="preserve">и иным сооружениям, связанным с разработкой месторождений</w:t>
      </w:r>
    </w:p>
    <w:p>
      <w:pPr>
        <w:pStyle w:val="2"/>
        <w:jc w:val="center"/>
      </w:pPr>
      <w:r>
        <w:rPr>
          <w:sz w:val="24"/>
        </w:rPr>
        <w:t xml:space="preserve">(участков) подземных вод</w:t>
      </w:r>
    </w:p>
    <w:p>
      <w:pPr>
        <w:pStyle w:val="0"/>
        <w:jc w:val="both"/>
      </w:pPr>
      <w:r>
        <w:rPr>
          <w:sz w:val="24"/>
        </w:rPr>
      </w:r>
    </w:p>
    <w:p>
      <w:pPr>
        <w:pStyle w:val="0"/>
        <w:ind w:firstLine="540"/>
        <w:jc w:val="both"/>
      </w:pPr>
      <w:r>
        <w:rPr>
          <w:sz w:val="24"/>
        </w:rPr>
        <w:t xml:space="preserve">20. В зависимости от гидрогеологических условий добыча подземных вод осуществляется буровыми скважинами (эксплуатационными, резервными, наблюдательными), колодцами, шахтами, штольнями, а также специально обустроенными иными каптажными сооружениями.</w:t>
      </w:r>
    </w:p>
    <w:p>
      <w:pPr>
        <w:pStyle w:val="0"/>
        <w:jc w:val="both"/>
      </w:pPr>
      <w:r>
        <w:rPr>
          <w:sz w:val="24"/>
        </w:rPr>
        <w:t xml:space="preserve">(в ред. </w:t>
      </w:r>
      <w:r>
        <w:rPr>
          <w:sz w:val="24"/>
        </w:rPr>
        <w:t xml:space="preserve">Приказа</w:t>
      </w:r>
      <w:r>
        <w:rPr>
          <w:sz w:val="24"/>
        </w:rPr>
        <w:t xml:space="preserve"> Минприроды России от 31.05.2023 N 328)</w:t>
      </w:r>
    </w:p>
    <w:p>
      <w:pPr>
        <w:pStyle w:val="0"/>
        <w:spacing w:before="240" w:line-rule="auto"/>
        <w:ind w:firstLine="540"/>
        <w:jc w:val="both"/>
      </w:pPr>
      <w:r>
        <w:rPr>
          <w:sz w:val="24"/>
        </w:rPr>
        <w:t xml:space="preserve">21. Поисковая скважина предназначена для определения общих гидрогеологических условий, выполнения комплекса поисково-оценочных работ на участке недр. Допускается использование поисковых скважин в пределах границ месторождения (участка) подземных вод, предоставленного в пользование.</w:t>
      </w:r>
    </w:p>
    <w:p>
      <w:pPr>
        <w:pStyle w:val="0"/>
        <w:spacing w:before="240" w:line-rule="auto"/>
        <w:ind w:firstLine="540"/>
        <w:jc w:val="both"/>
      </w:pPr>
      <w:r>
        <w:rPr>
          <w:sz w:val="24"/>
        </w:rPr>
        <w:t xml:space="preserve">22. Разведочная скважина предназначена для уточнения геологического строения и гидрогеологических условий, опробования продуктивного водоносного горизонта (комплекса), определения его гидрогеологических параметров и качественного состава подземных вод на участке недр. Допускается использование разведочных скважин в пределах границ месторождения (участка), предоставленного в пользование.</w:t>
      </w:r>
    </w:p>
    <w:p>
      <w:pPr>
        <w:pStyle w:val="0"/>
        <w:spacing w:before="240" w:line-rule="auto"/>
        <w:ind w:firstLine="540"/>
        <w:jc w:val="both"/>
      </w:pPr>
      <w:r>
        <w:rPr>
          <w:sz w:val="24"/>
        </w:rPr>
        <w:t xml:space="preserve">23. Разведочно-эксплуатационная скважина предназначена для определения геологического строения и гидрогеологических условий, параметров продуктивного водоносного горизонта (комплекса), его гидрогеологических параметров и качественного состава подземных вод на участке недр, и последующей эксплуатации разведанного месторождения (участка) подземных вод.</w:t>
      </w:r>
    </w:p>
    <w:p>
      <w:pPr>
        <w:pStyle w:val="0"/>
        <w:spacing w:before="240" w:line-rule="auto"/>
        <w:ind w:firstLine="540"/>
        <w:jc w:val="both"/>
      </w:pPr>
      <w:r>
        <w:rPr>
          <w:sz w:val="24"/>
        </w:rPr>
        <w:t xml:space="preserve">24. Эксплуатационная скважина предназначена для добычи подземных вод.</w:t>
      </w:r>
    </w:p>
    <w:p>
      <w:pPr>
        <w:pStyle w:val="0"/>
        <w:spacing w:before="240" w:line-rule="auto"/>
        <w:ind w:firstLine="540"/>
        <w:jc w:val="both"/>
      </w:pPr>
      <w:r>
        <w:rPr>
          <w:sz w:val="24"/>
        </w:rPr>
        <w:t xml:space="preserve">25. Резервная скважина является дублирующей скважиной по отношению к действующим эксплуатационным скважинам и предназначена для оперативного использования на случай выхода основной скважины из эксплуатации. Также резервная скважина может использоваться в качестве наблюдательной скважины при осуществлении мониторинга подземных вод. Количество резервных скважин обосновывается пользователем недр в проектной документации на разработку месторождения (участка) подземных вод.</w:t>
      </w:r>
    </w:p>
    <w:p>
      <w:pPr>
        <w:pStyle w:val="0"/>
        <w:spacing w:before="240" w:line-rule="auto"/>
        <w:ind w:firstLine="540"/>
        <w:jc w:val="both"/>
      </w:pPr>
      <w:r>
        <w:rPr>
          <w:sz w:val="24"/>
        </w:rPr>
        <w:t xml:space="preserve">26. Наблюдательная скважина предназначена для ведения режимных наблюдений за уровнем и качественным составом подземных вод на месторождениях (участках) на действующих водозаборах и водозаборах, требующих переоценки запасов, на стадиях разработки и опытно-промышленной разработки месторождения (участка) подземных вод. Количество и местоположение наблюдательных скважин обосновываются пользователем недр в проектной документации на разработку месторождения (участка) подземных вод. В качестве наблюдательных скважин допускается использование эксплуатационных скважин.</w:t>
      </w:r>
    </w:p>
    <w:p>
      <w:pPr>
        <w:pStyle w:val="0"/>
        <w:spacing w:before="240" w:line-rule="auto"/>
        <w:ind w:firstLine="540"/>
        <w:jc w:val="both"/>
      </w:pPr>
      <w:r>
        <w:rPr>
          <w:sz w:val="24"/>
        </w:rPr>
        <w:t xml:space="preserve">27. Требования к конструкции и опробованию буровых скважин на месторождениях (участках) подземных вод обосновываются в проектной документации на бурение скважин, где должны быть указаны:</w:t>
      </w:r>
    </w:p>
    <w:p>
      <w:pPr>
        <w:pStyle w:val="0"/>
        <w:spacing w:before="240" w:line-rule="auto"/>
        <w:ind w:firstLine="540"/>
        <w:jc w:val="both"/>
      </w:pPr>
      <w:r>
        <w:rPr>
          <w:sz w:val="24"/>
        </w:rPr>
        <w:t xml:space="preserve">а) способ бурения и крепления ствола скважины;</w:t>
      </w:r>
    </w:p>
    <w:p>
      <w:pPr>
        <w:pStyle w:val="0"/>
        <w:spacing w:before="240" w:line-rule="auto"/>
        <w:ind w:firstLine="540"/>
        <w:jc w:val="both"/>
      </w:pPr>
      <w:r>
        <w:rPr>
          <w:sz w:val="24"/>
        </w:rPr>
        <w:t xml:space="preserve">б) сведения о затрубной цементации с указанием используемых материалов;</w:t>
      </w:r>
    </w:p>
    <w:p>
      <w:pPr>
        <w:pStyle w:val="0"/>
        <w:spacing w:before="240" w:line-rule="auto"/>
        <w:ind w:firstLine="540"/>
        <w:jc w:val="both"/>
      </w:pPr>
      <w:r>
        <w:rPr>
          <w:sz w:val="24"/>
        </w:rPr>
        <w:t xml:space="preserve">в) конструкция скважины: глубина, диаметры обсадных и фильтровых колонн труб, тип водоприемной части, водоподъемного оборудования и оголовка скважины;</w:t>
      </w:r>
    </w:p>
    <w:p>
      <w:pPr>
        <w:pStyle w:val="0"/>
        <w:spacing w:before="240" w:line-rule="auto"/>
        <w:ind w:firstLine="540"/>
        <w:jc w:val="both"/>
      </w:pPr>
      <w:r>
        <w:rPr>
          <w:sz w:val="24"/>
        </w:rPr>
        <w:t xml:space="preserve">г) виды и объемы исследований и опробования (геофизические исследования, опытно-фильтрационные работы, гидрохимическое опробование, специальные исследования). Для поисковых и разведочных скважин, при необходимости, определяются интервалы отбора керна;</w:t>
      </w:r>
    </w:p>
    <w:p>
      <w:pPr>
        <w:pStyle w:val="0"/>
        <w:spacing w:before="240" w:line-rule="auto"/>
        <w:ind w:firstLine="540"/>
        <w:jc w:val="both"/>
      </w:pPr>
      <w:r>
        <w:rPr>
          <w:sz w:val="24"/>
        </w:rPr>
        <w:t xml:space="preserve">д) тип контрольно-измерительного оборудования, рекомендуемого в использовании при эксплуатации водозабора.</w:t>
      </w:r>
    </w:p>
    <w:p>
      <w:pPr>
        <w:pStyle w:val="0"/>
        <w:spacing w:before="240" w:line-rule="auto"/>
        <w:ind w:firstLine="540"/>
        <w:jc w:val="both"/>
      </w:pPr>
      <w:r>
        <w:rPr>
          <w:sz w:val="24"/>
        </w:rPr>
        <w:t xml:space="preserve">28. Пользователь недр обязан следить за техническим состоянием эксплуатационных, резервных и наблюдательных скважин и проводить проверки технического состояния эксплуатационных, резервных и наблюдательных скважин в соответствии с периодичностью, указанной в проектной документации на разработку месторождения (участка) подземных вод.</w:t>
      </w:r>
    </w:p>
    <w:p>
      <w:pPr>
        <w:pStyle w:val="0"/>
        <w:spacing w:before="240" w:line-rule="auto"/>
        <w:ind w:firstLine="540"/>
        <w:jc w:val="both"/>
      </w:pPr>
      <w:r>
        <w:rPr>
          <w:sz w:val="24"/>
        </w:rPr>
        <w:t xml:space="preserve">29. Пользователь недр обеспечивает своевременное проведение ремонтных работ скважин.</w:t>
      </w:r>
    </w:p>
    <w:p>
      <w:pPr>
        <w:pStyle w:val="0"/>
        <w:spacing w:before="240" w:line-rule="auto"/>
        <w:ind w:firstLine="540"/>
        <w:jc w:val="both"/>
      </w:pPr>
      <w:r>
        <w:rPr>
          <w:sz w:val="24"/>
        </w:rPr>
        <w:t xml:space="preserve">30. В случае невозможности проведения ремонтных работ скважин или при возникновении риска загрязнения окружающей среды (в том числе, неконтролируемые выпуски подземных вод на поверхность рельефа или в смежные водоносные горизонты) пользователь недр осуществляет ликвидацию скважины.</w:t>
      </w:r>
    </w:p>
    <w:p>
      <w:pPr>
        <w:pStyle w:val="0"/>
        <w:spacing w:before="240" w:line-rule="auto"/>
        <w:ind w:firstLine="540"/>
        <w:jc w:val="both"/>
      </w:pPr>
      <w:r>
        <w:rPr>
          <w:sz w:val="24"/>
        </w:rPr>
        <w:t xml:space="preserve">31. Каптажные сооружения могут эксплуатироваться на режиме самоизлива, когда движение подземных вод по эксплуатационной колонне или лифтовым трубам происходит за счет энергии пласта, либо принудительным способом, когда подача подземных вод на поверхность осуществляется с помощью технических средств.</w:t>
      </w:r>
    </w:p>
    <w:p>
      <w:pPr>
        <w:pStyle w:val="0"/>
        <w:spacing w:before="240" w:line-rule="auto"/>
        <w:ind w:firstLine="540"/>
        <w:jc w:val="both"/>
      </w:pPr>
      <w:r>
        <w:rPr>
          <w:sz w:val="24"/>
        </w:rPr>
        <w:t xml:space="preserve">При каптаже подземных вод с положительным пьезометрическим уровнем конструкция скважин обеспечивает их вывод преимущественно самоизливом на расчетный срок эксплуатации, если это соответствует выводам, содержащимся в заключении государственной экспертизы запасов.</w:t>
      </w:r>
    </w:p>
    <w:p>
      <w:pPr>
        <w:pStyle w:val="0"/>
        <w:spacing w:before="240" w:line-rule="auto"/>
        <w:ind w:firstLine="540"/>
        <w:jc w:val="both"/>
      </w:pPr>
      <w:r>
        <w:rPr>
          <w:sz w:val="24"/>
        </w:rPr>
        <w:t xml:space="preserve">32. Каптажное сооружение оборудуется средствами измерений, отвечающими требованиям, предусмотренным </w:t>
      </w:r>
      <w:r>
        <w:rPr>
          <w:sz w:val="24"/>
        </w:rPr>
        <w:t xml:space="preserve">статьей 9</w:t>
      </w:r>
      <w:r>
        <w:rPr>
          <w:sz w:val="24"/>
        </w:rPr>
        <w:t xml:space="preserve"> Федерального закона "Об обеспечении единства измерений", обеспечивающими проведение режимных наблюдений, учет объемов добычи подземных вод и защиту от внешних воздействий и доступа посторонних лиц, в том числе в случае добычи подземных вод на месторождениях (участках) минеральных подземных вод с использованием оборудования защиты приборов учета объема добычи подземных вод от несанкционированного вмешательства в их работу, включая их опломбирование.</w:t>
      </w:r>
    </w:p>
    <w:p>
      <w:pPr>
        <w:pStyle w:val="0"/>
        <w:jc w:val="both"/>
      </w:pPr>
      <w:r>
        <w:rPr>
          <w:sz w:val="24"/>
        </w:rPr>
        <w:t xml:space="preserve">(п. 32 в ред. </w:t>
      </w:r>
      <w:r>
        <w:rPr>
          <w:sz w:val="24"/>
        </w:rPr>
        <w:t xml:space="preserve">Приказа</w:t>
      </w:r>
      <w:r>
        <w:rPr>
          <w:sz w:val="24"/>
        </w:rPr>
        <w:t xml:space="preserve"> Минприроды России от 31.05.2023 N 328)</w:t>
      </w:r>
    </w:p>
    <w:p>
      <w:pPr>
        <w:pStyle w:val="0"/>
        <w:jc w:val="both"/>
      </w:pPr>
      <w:r>
        <w:rPr>
          <w:sz w:val="24"/>
        </w:rPr>
      </w:r>
    </w:p>
    <w:p>
      <w:pPr>
        <w:pStyle w:val="2"/>
        <w:outlineLvl w:val="1"/>
        <w:jc w:val="center"/>
      </w:pPr>
      <w:r>
        <w:rPr>
          <w:sz w:val="24"/>
        </w:rPr>
        <w:t xml:space="preserve">VII. Мероприятия по охране подземных водных объектов</w:t>
      </w:r>
    </w:p>
    <w:p>
      <w:pPr>
        <w:pStyle w:val="0"/>
        <w:jc w:val="both"/>
      </w:pPr>
      <w:r>
        <w:rPr>
          <w:sz w:val="24"/>
        </w:rPr>
      </w:r>
    </w:p>
    <w:p>
      <w:pPr>
        <w:pStyle w:val="0"/>
        <w:ind w:firstLine="540"/>
        <w:jc w:val="both"/>
      </w:pPr>
      <w:r>
        <w:rPr>
          <w:sz w:val="24"/>
        </w:rPr>
        <w:t xml:space="preserve">33. При разработке месторождений (участков) подземных вод осуществляются следующие мероприятия по охране подземных водных объектов:</w:t>
      </w:r>
    </w:p>
    <w:p>
      <w:pPr>
        <w:pStyle w:val="0"/>
        <w:spacing w:before="240" w:line-rule="auto"/>
        <w:ind w:firstLine="540"/>
        <w:jc w:val="both"/>
      </w:pPr>
      <w:r>
        <w:rPr>
          <w:sz w:val="24"/>
        </w:rPr>
        <w:t xml:space="preserve">а) мероприятия по предотвращению поступления загрязняющих веществ в подземные воды;</w:t>
      </w:r>
    </w:p>
    <w:p>
      <w:pPr>
        <w:pStyle w:val="0"/>
        <w:spacing w:before="240" w:line-rule="auto"/>
        <w:ind w:firstLine="540"/>
        <w:jc w:val="both"/>
      </w:pPr>
      <w:r>
        <w:rPr>
          <w:sz w:val="24"/>
        </w:rPr>
        <w:t xml:space="preserve">б) мероприятия по ликвидации последствий загрязнения, засорения подземных вод и истощения их запасов;</w:t>
      </w:r>
    </w:p>
    <w:p>
      <w:pPr>
        <w:pStyle w:val="0"/>
        <w:spacing w:before="240" w:line-rule="auto"/>
        <w:ind w:firstLine="540"/>
        <w:jc w:val="both"/>
      </w:pPr>
      <w:r>
        <w:rPr>
          <w:sz w:val="24"/>
        </w:rPr>
        <w:t xml:space="preserve">в) наблюдение за химическим, микробиологическим и радиационным состоянием подземных вод;</w:t>
      </w:r>
    </w:p>
    <w:p>
      <w:pPr>
        <w:pStyle w:val="0"/>
        <w:spacing w:before="240" w:line-rule="auto"/>
        <w:ind w:firstLine="540"/>
        <w:jc w:val="both"/>
      </w:pPr>
      <w:r>
        <w:rPr>
          <w:sz w:val="24"/>
        </w:rPr>
        <w:t xml:space="preserve">г) наблюдение за уровенным режимом подземных вод;</w:t>
      </w:r>
    </w:p>
    <w:p>
      <w:pPr>
        <w:pStyle w:val="0"/>
        <w:spacing w:before="240" w:line-rule="auto"/>
        <w:ind w:firstLine="540"/>
        <w:jc w:val="both"/>
      </w:pPr>
      <w:r>
        <w:rPr>
          <w:sz w:val="24"/>
        </w:rPr>
        <w:t xml:space="preserve">д) определение объемов добычи (извлечения) подземных вод из подземных водных объектов.</w:t>
      </w:r>
    </w:p>
    <w:p>
      <w:pPr>
        <w:pStyle w:val="0"/>
        <w:spacing w:before="240" w:line-rule="auto"/>
        <w:ind w:firstLine="540"/>
        <w:jc w:val="both"/>
      </w:pPr>
      <w:r>
        <w:rPr>
          <w:sz w:val="24"/>
        </w:rPr>
        <w:t xml:space="preserve">Указанные в настоящем пункте мероприятия по охране подземных водных объектов осуществляются пользователями недр в соответствии с </w:t>
      </w:r>
      <w:r>
        <w:rPr>
          <w:sz w:val="24"/>
        </w:rPr>
        <w:t xml:space="preserve">Правилами</w:t>
      </w:r>
      <w:r>
        <w:rPr>
          <w:sz w:val="24"/>
        </w:rPr>
        <w:t xml:space="preserve"> охраны подземных водных объектов, утвержденными постановлением Правительства Российской Федерации от 11 февраля 2016 г. N 94 "Об утверждении Правил охраны подземных водных объектов" (Собрание законодательства Российской Федерации, 2016, N 8, ст. 1115; 2020, N 1, ст. 31).</w:t>
      </w:r>
    </w:p>
    <w:p>
      <w:pPr>
        <w:pStyle w:val="0"/>
        <w:jc w:val="both"/>
      </w:pPr>
      <w:r>
        <w:rPr>
          <w:sz w:val="24"/>
        </w:rPr>
      </w:r>
    </w:p>
    <w:p>
      <w:pPr>
        <w:pStyle w:val="2"/>
        <w:outlineLvl w:val="1"/>
        <w:jc w:val="center"/>
      </w:pPr>
      <w:r>
        <w:rPr>
          <w:sz w:val="24"/>
        </w:rPr>
        <w:t xml:space="preserve">VIII. Завершение разработки месторождения (участка)</w:t>
      </w:r>
    </w:p>
    <w:p>
      <w:pPr>
        <w:pStyle w:val="2"/>
        <w:jc w:val="center"/>
      </w:pPr>
      <w:r>
        <w:rPr>
          <w:sz w:val="24"/>
        </w:rPr>
        <w:t xml:space="preserve">подземных вод</w:t>
      </w:r>
    </w:p>
    <w:p>
      <w:pPr>
        <w:pStyle w:val="0"/>
        <w:jc w:val="both"/>
      </w:pPr>
      <w:r>
        <w:rPr>
          <w:sz w:val="24"/>
        </w:rPr>
      </w:r>
    </w:p>
    <w:p>
      <w:pPr>
        <w:pStyle w:val="0"/>
        <w:ind w:firstLine="540"/>
        <w:jc w:val="both"/>
      </w:pPr>
      <w:r>
        <w:rPr>
          <w:sz w:val="24"/>
        </w:rPr>
        <w:t xml:space="preserve">34. Горные выработки, скважины и иные сооружения, связанные с разработкой месторождений (участков) подземных вод, подлежат ликвидации или консервации при прекращении (в том числе досрочном) права пользования недрами.</w:t>
      </w:r>
    </w:p>
    <w:p>
      <w:pPr>
        <w:pStyle w:val="0"/>
        <w:spacing w:before="240" w:line-rule="auto"/>
        <w:ind w:firstLine="540"/>
        <w:jc w:val="both"/>
      </w:pPr>
      <w:r>
        <w:rPr>
          <w:sz w:val="24"/>
        </w:rPr>
        <w:t xml:space="preserve">35. При ликвидации и консервации горных выработок, скважин и иных сооружений, связанных с разработкой месторождений (участков) подземных вод, геологическая, маркшейдерская и иная документация пополняется на момент завершения работ и направляется пользователем недр на хранение в федеральный фонд геологической информации и его территориальные фонды, а в отношении участков недр местного значения - также в фонды геологической информации соответствующих субъектов Российской Федерации.</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30.07.2020 N 530</w:t>
            <w:br/>
            <w:t>(ред. от 31.05.2023)</w:t>
            <w:br/>
            <w:t>"Об утверждении Правил разработки месторождений подзем...</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30.07.2020 N 530
(ред. от 31.05.2023)
"Об утверждении Правил разработки месторождений подземных вод"
(Зарегистрировано в Минюсте России 14.12.2020 N 61441)</dc:title>
  <dcterms:created xsi:type="dcterms:W3CDTF">2026-04-06T09:11:26Z</dcterms:created>
</cp:coreProperties>
</file>